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20" w:rsidRPr="0055336D" w:rsidRDefault="000A0220" w:rsidP="00E00E8A">
      <w:pPr>
        <w:shd w:val="clear" w:color="auto" w:fill="FFFFFF"/>
        <w:spacing w:before="720" w:after="0" w:line="240" w:lineRule="auto"/>
        <w:ind w:left="960" w:right="960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  <w:r w:rsidRPr="0055336D"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 xml:space="preserve">Plan de actuación de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>la FUNDACIÓN PROYECTO ESTRELLA AZUL.</w:t>
      </w:r>
    </w:p>
    <w:p w:rsidR="000A0220" w:rsidRPr="0055336D" w:rsidRDefault="000A0220" w:rsidP="00E30E00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 xml:space="preserve">De acuerdo con el Real Decreto 1491/2011, de 24 de octubre, </w:t>
      </w: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por el que se aprueba el modelo de Plan de Actuación de entidades sin fines lucrativos, </w:t>
      </w: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>l</w:t>
      </w: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as fundaciones, </w:t>
      </w:r>
      <w:r w:rsidR="001A1054">
        <w:rPr>
          <w:rFonts w:ascii="Times New Roman" w:hAnsi="Times New Roman"/>
          <w:color w:val="000000"/>
          <w:sz w:val="28"/>
          <w:szCs w:val="28"/>
          <w:lang w:eastAsia="es-ES"/>
        </w:rPr>
        <w:t>en aplicación de lo dispuesto por los artículos 25.8 de la Ley de Fundaciones y 2 de su reglamento</w:t>
      </w: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, </w:t>
      </w: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 xml:space="preserve">deben elaborar </w:t>
      </w:r>
      <w:r w:rsidR="001A1054">
        <w:rPr>
          <w:rFonts w:ascii="Times New Roman" w:hAnsi="Times New Roman"/>
          <w:color w:val="000000"/>
          <w:sz w:val="28"/>
          <w:szCs w:val="28"/>
          <w:lang w:eastAsia="es-ES"/>
        </w:rPr>
        <w:t xml:space="preserve">al final de cada ejercicio </w:t>
      </w: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>un plan de actuación en el que queden reflejados los objetivos y las actividades que se prevea desarrollar durante el ejercicio siguiente.</w:t>
      </w:r>
    </w:p>
    <w:p w:rsidR="000A0220" w:rsidRPr="0055336D" w:rsidRDefault="000A0220" w:rsidP="00103D1F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 xml:space="preserve">En el caso de la Fundación Proyecto Estrella Azul, </w:t>
      </w:r>
      <w:r w:rsidR="001A1054">
        <w:rPr>
          <w:rFonts w:ascii="Times New Roman" w:hAnsi="Times New Roman"/>
          <w:color w:val="000000"/>
          <w:sz w:val="28"/>
          <w:szCs w:val="28"/>
          <w:lang w:eastAsia="es-ES"/>
        </w:rPr>
        <w:t>todavía  no ha transcurrido un año desde su constitución, pero dado que el ejercicio natural termina el 31 de diciembre de cada año según los estatutos de la Fundación</w:t>
      </w: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 xml:space="preserve">, </w:t>
      </w:r>
      <w:r w:rsidR="001A1054">
        <w:rPr>
          <w:rFonts w:ascii="Times New Roman" w:hAnsi="Times New Roman"/>
          <w:color w:val="000000"/>
          <w:sz w:val="28"/>
          <w:szCs w:val="28"/>
          <w:lang w:eastAsia="es-ES"/>
        </w:rPr>
        <w:t xml:space="preserve">y teniendo en cuenta los importantes </w:t>
      </w:r>
      <w:proofErr w:type="spellStart"/>
      <w:r w:rsidR="001A1054">
        <w:rPr>
          <w:rFonts w:ascii="Times New Roman" w:hAnsi="Times New Roman"/>
          <w:color w:val="000000"/>
          <w:sz w:val="28"/>
          <w:szCs w:val="28"/>
          <w:lang w:eastAsia="es-ES"/>
        </w:rPr>
        <w:t>avancs</w:t>
      </w:r>
      <w:proofErr w:type="spellEnd"/>
      <w:r w:rsidR="001A1054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que se han producido en los últimos meses en el desarrollo de nuestro proyecto, </w:t>
      </w: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 xml:space="preserve">se considera más adecuado presentar un Plan de Actuación </w:t>
      </w:r>
      <w:r w:rsidR="001A1054">
        <w:rPr>
          <w:rFonts w:ascii="Times New Roman" w:hAnsi="Times New Roman"/>
          <w:color w:val="000000"/>
          <w:sz w:val="28"/>
          <w:szCs w:val="28"/>
          <w:lang w:eastAsia="es-ES"/>
        </w:rPr>
        <w:t>nuevo que recoja los objetivos y actividades previstos para el año 2024,</w:t>
      </w: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siguiendo el modelo normali</w:t>
      </w:r>
      <w:r w:rsidR="001A1054">
        <w:rPr>
          <w:rFonts w:ascii="Times New Roman" w:hAnsi="Times New Roman"/>
          <w:color w:val="000000"/>
          <w:sz w:val="28"/>
          <w:szCs w:val="28"/>
          <w:lang w:eastAsia="es-ES"/>
        </w:rPr>
        <w:t>zado que establece</w:t>
      </w: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la normativa aplicable</w:t>
      </w: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>.</w:t>
      </w:r>
    </w:p>
    <w:p w:rsidR="000A0220" w:rsidRPr="0055336D" w:rsidRDefault="000A0220" w:rsidP="00103D1F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Default="000A0220" w:rsidP="00103D1F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s-ES"/>
        </w:rPr>
      </w:pPr>
      <w:bookmarkStart w:id="0" w:name="_Hlk88304090"/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s-ES"/>
        </w:rPr>
        <w:t xml:space="preserve"> </w:t>
      </w:r>
    </w:p>
    <w:p w:rsidR="000A0220" w:rsidRDefault="000A0220" w:rsidP="00103D1F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s-ES"/>
        </w:rPr>
        <w:t xml:space="preserve"> </w:t>
      </w:r>
      <w:bookmarkEnd w:id="0"/>
      <w:r w:rsidR="001A105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s-ES"/>
        </w:rPr>
        <w:t>PUESTA EN MARCHA DE CURSO DE FORMACIÓN BLUESTAR PROJECT</w:t>
      </w:r>
    </w:p>
    <w:p w:rsidR="000A0220" w:rsidRDefault="000A0220" w:rsidP="00103D1F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1A1054" w:rsidRDefault="001A1054" w:rsidP="00103D1F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>Se trata de un curso destinado a la formación e integración laboral de personas del espectro autista (TEA).</w:t>
      </w:r>
      <w:r w:rsidR="000A0220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</w:t>
      </w:r>
    </w:p>
    <w:p w:rsidR="000A0220" w:rsidRDefault="001A1054" w:rsidP="00103D1F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El curso se acogió a la convocatoria oficial de cursos SEF CARM aprobada por resolución de 26 de junio de 2023, de subvenciones destinadas a la realización de proyectos de formación correspondientes a la </w:t>
      </w:r>
      <w:r w:rsidR="00A239EE">
        <w:rPr>
          <w:rFonts w:ascii="Times New Roman" w:hAnsi="Times New Roman"/>
          <w:color w:val="000000"/>
          <w:sz w:val="28"/>
          <w:szCs w:val="28"/>
          <w:lang w:eastAsia="es-ES"/>
        </w:rPr>
        <w:t>formación de oferta dirigida a personas trabajadoras desempleadas en el ámbito de la Comunidad Autónoma de la Región de Murcia para 2023 (SEPE).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lastRenderedPageBreak/>
        <w:t>Las especialidades formativas presentadas se dividirán en dos grandes bloques con la siguiente estructura: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b/>
          <w:color w:val="000000"/>
          <w:sz w:val="28"/>
          <w:szCs w:val="28"/>
          <w:lang w:eastAsia="es-ES"/>
        </w:rPr>
        <w:t>Primer bloque (materias transversales o generales)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-Habilidades personales y sociales para el empleo de personas con discapacidad (240 horas).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-Establecimiento de objetivos profesionales y plan de acción (15 horas).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-Resolución de conflictos (30 horas).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b/>
          <w:color w:val="000000"/>
          <w:sz w:val="28"/>
          <w:szCs w:val="28"/>
          <w:lang w:eastAsia="es-ES"/>
        </w:rPr>
        <w:t>Segundo bloque (materias específicas).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-Manipulación de alimentos (125 horas).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-Prevención de riesgos laborales (30 horas).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-Envasado, acondicionado y embalaje de productos alimentarios (60 horas).</w:t>
      </w: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TOTAL: 500 HORAS</w:t>
      </w:r>
    </w:p>
    <w:p w:rsidR="000A0220" w:rsidRPr="0055336D" w:rsidRDefault="000A0220" w:rsidP="00103D1F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 </w:t>
      </w:r>
    </w:p>
    <w:p w:rsidR="000A0220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>La subvención fue concedida de forma definitiva mediante resolución de 27 de octubre de 2023, firmada por la Directora General Del servicio de Empleo y  Formación, doña María Isabel López Aragón.</w:t>
      </w:r>
    </w:p>
    <w:p w:rsidR="00A239EE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A239EE" w:rsidRPr="0055336D" w:rsidRDefault="00A239EE" w:rsidP="00A239EE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Pr="00A239EE" w:rsidRDefault="000A0220" w:rsidP="00A239EE">
      <w:pPr>
        <w:pStyle w:val="Prrafodelista"/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lastRenderedPageBreak/>
        <w:t>Identificación.</w:t>
      </w:r>
    </w:p>
    <w:p w:rsidR="000A0220" w:rsidRDefault="000A0220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Default="00A239EE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El curso ha sido aprobado con la denominación  “Curso de Formación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s-ES"/>
        </w:rPr>
        <w:t>Bluestar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Project” número de expediente PR-2023-186.</w:t>
      </w:r>
    </w:p>
    <w:p w:rsidR="000A0220" w:rsidRDefault="000A0220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Pr="0053150D" w:rsidRDefault="000A0220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Pr="004B1902" w:rsidRDefault="000A0220" w:rsidP="00E30E00">
      <w:pPr>
        <w:pStyle w:val="Prrafodelista"/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  <w:r w:rsidRPr="004B1902"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>Recursos humanos empleados en la actividad.</w:t>
      </w:r>
    </w:p>
    <w:p w:rsidR="000A0220" w:rsidRDefault="000A0220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Default="00A239EE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>Se empleará a un profesor titulado encargado de impartir los cursos, habiendo sido designado D. Pedro Francisco Ferrer García, que cuenca con amplia y acreditada experiencia en la elaboración e impartición efectiva de cursos SEF.</w:t>
      </w:r>
    </w:p>
    <w:p w:rsidR="00A239EE" w:rsidRDefault="00A239EE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Pero además y dado que el proyecto de formación se ha diseñado como un proyecto piloto de carácter científico, contamos con el asesoramiento de varios investigadores de ámbito universitario, dirigidos por la Dra.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s-ES"/>
        </w:rPr>
        <w:t>Katerina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s-ES"/>
        </w:rPr>
        <w:t>Dounavi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s-ES"/>
        </w:rPr>
        <w:t>.</w:t>
      </w:r>
    </w:p>
    <w:p w:rsidR="00A239EE" w:rsidRDefault="00A239EE" w:rsidP="00A239EE">
      <w:pPr>
        <w:pStyle w:val="Prrafodelista"/>
        <w:shd w:val="clear" w:color="auto" w:fill="FFFFFF"/>
        <w:spacing w:before="360" w:after="180"/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Katerina</w:t>
      </w:r>
      <w:proofErr w:type="spellEnd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Dounavi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es una de las más reputadas científicas en el estudio del Autismo y el Análisis de Conducta a nivel internacional.</w:t>
      </w: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</w:t>
      </w: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 Nacida en Atenas en el año 1983 cursó estudios de Psicología en la Universidad Nacional y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Kapodistriana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de Atenas donde se licenció en 2006, estudios que completó en la Universidad Complutense de Madrid, donde cursó un máster en Psicología Educativa entre 2006 y 2007, doctorándose en el año 2013 en Psicología Clínica, Forense y de la Salud. Desde 2012 se integró en la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School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of Social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Sciences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,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Education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and Social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Work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de la Universidad de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Queen’s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(Belfast, Reino Unido) donde alcanzó en 2019 el grado de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Senior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Lecturer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(Profesora Titular) de Análisis Aplicado de Conducta y Autismo que ejerce en la actualidad.</w:t>
      </w: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 A lo largo de su dilatada carrera ha publicado directamente o en colaboración con otros autores numerosos artículos en revistas científicas y manuales. Así, tan sólo en el 2022 merecen destacarse su colaboración en el capítulo dedicado a la Educación Especial e Inclusiva en el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Handbook</w:t>
      </w:r>
      <w:proofErr w:type="spellEnd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of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Autism</w:t>
      </w:r>
      <w:proofErr w:type="spellEnd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and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Pervasive</w:t>
      </w:r>
      <w:proofErr w:type="spellEnd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Developmental</w:t>
      </w:r>
      <w:proofErr w:type="spellEnd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Disorder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,  así como los diversos artículos redactados en colaboración con las doctoras Jenny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Ferguson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y Emma Craig y publicados en 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The</w:t>
      </w:r>
      <w:proofErr w:type="spellEnd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Journal</w:t>
      </w:r>
      <w:proofErr w:type="spellEnd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of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Developmental</w:t>
      </w:r>
      <w:proofErr w:type="spellEnd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and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Physical</w:t>
      </w:r>
      <w:proofErr w:type="spellEnd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Disabilities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,  sobre temas 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lastRenderedPageBreak/>
        <w:t>tales como "</w:t>
      </w:r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El impacto de una plataforma de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telesalud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en la capacitación de padres basada en ABA dirigida a la comunicación social en niños con trastorno del espectro autista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", la "</w:t>
      </w:r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Eficacia de un entrenamiento breve en análisis funcional y comunicación funcional realizado a través de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telesalud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" o "</w:t>
      </w:r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La eficacia del uso de la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telesalud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para capacitar a los padres de niños con trastorno del espectro autista sobre cómo utilizar la enseñanza naturalista para aumentar los mandos, los tactos y las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intraverbales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".</w:t>
      </w: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 Además de esta actividad académica, la Dra.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Dounavi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ha desarrollado una intensa actividad clínica a nivel internacional, empezando por su país natal, </w:t>
      </w:r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Grecia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, donde fundó en 2010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Magiko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Sympan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, una consultoría que dirige en la actualidad. Además ha trabajado en </w:t>
      </w:r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España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(como coordinadora y supervisora asociada para ABA España desde 2011 hasta la actualidad, como miembro de la unidad preventiva de psicología de la UCM entre 2006 y 2008 en programas preventivos impartidos en diversas escuelas de primaria y secundaria), </w:t>
      </w:r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Francia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 (Supervisora para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Futuroschool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Centre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desde 2012 a 2020), </w:t>
      </w:r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Alemania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(Directora Clínica de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Melody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Learning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Centre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desde 2010 a 2021) y por supuesto </w:t>
      </w:r>
      <w:r w:rsidRPr="00A239EE">
        <w:rPr>
          <w:rFonts w:ascii="Times New Roman" w:hAnsi="Times New Roman"/>
          <w:b/>
          <w:i/>
          <w:color w:val="000000"/>
          <w:sz w:val="28"/>
          <w:szCs w:val="28"/>
          <w:lang w:eastAsia="es-ES"/>
        </w:rPr>
        <w:t>Reino Unido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, donde desde su nombramiento en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Queen's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en 2012, ha sido fundamental, junto con la profesora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Karola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Dillenburger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, en el diseño del Máster ABA y su inauguración en 2014-15. Desde entonces, ha liderado su continuo crecimiento y éxito internacional (como Directora del Programa entre 2014-20 y como Coordinadora de ABAI VCS desde 2014 y hasta el día de hoy) convirtiéndolo en uno de los programas más buscados y solicitados a nivel internacional.</w:t>
      </w: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 </w:t>
      </w: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Su dilatada biografía científica ha sido merecedora de varios reconocimientos, como el premio al mejor trabajo de investigación en la 7ª Conferencia Anual de Análisis de Conducta organizada por la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Psychological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Society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of </w:t>
      </w:r>
      <w:proofErr w:type="spellStart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Ireland</w:t>
      </w:r>
      <w:proofErr w:type="spellEnd"/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 xml:space="preserve"> 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(2013), entre otros. Su prestigio hizo que en 2019 fuera invitada por el gobierno de los Emiratos Árabes Unidos, en su condición de experta, a fin de proceder a validar los estándares nacionales de su modelo de Educación Especial y Educación Inclusiva.</w:t>
      </w: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lastRenderedPageBreak/>
        <w:t xml:space="preserve"> Su objetivo general, que preside toda su actividad docente, científica y clínica, según ha declarado es </w:t>
      </w:r>
      <w:r w:rsidRPr="00A239EE">
        <w:rPr>
          <w:rFonts w:ascii="Times New Roman" w:hAnsi="Times New Roman"/>
          <w:i/>
          <w:color w:val="000000"/>
          <w:sz w:val="28"/>
          <w:szCs w:val="28"/>
          <w:lang w:eastAsia="es-ES"/>
        </w:rPr>
        <w:t>"mejorar la calidad de vida de las personas con necesidades especiales y empoderar a sus familias mediante la creación de entornos inclusivos, profesionales altamente capacitados y basados ​​en valores y modelos de prestación de servicios educativos basados ​​en pruebas científicas"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.</w:t>
      </w: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Este planteamiento y sus innegables méritos profesionales son los que han llevado a la Fundación Proyecto Estrella Azul a solicitar a la Dra.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Dounavi</w:t>
      </w:r>
      <w:proofErr w:type="spellEnd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que asuma la dirección científica del Proyecto a través de la figura del Contrato de Investigación, que </w:t>
      </w:r>
      <w:r w:rsidR="005A5E47">
        <w:rPr>
          <w:rFonts w:ascii="Times New Roman" w:hAnsi="Times New Roman"/>
          <w:color w:val="000000"/>
          <w:sz w:val="28"/>
          <w:szCs w:val="28"/>
          <w:lang w:eastAsia="es-ES"/>
        </w:rPr>
        <w:t xml:space="preserve">se formalizó </w:t>
      </w:r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 xml:space="preserve">entre la Fundación y la Universidad de </w:t>
      </w:r>
      <w:proofErr w:type="spellStart"/>
      <w:r w:rsidRPr="00A239EE">
        <w:rPr>
          <w:rFonts w:ascii="Times New Roman" w:hAnsi="Times New Roman"/>
          <w:color w:val="000000"/>
          <w:sz w:val="28"/>
          <w:szCs w:val="28"/>
          <w:lang w:eastAsia="es-ES"/>
        </w:rPr>
        <w:t>Queen’</w:t>
      </w:r>
      <w:r w:rsidR="005A5E47">
        <w:rPr>
          <w:rFonts w:ascii="Times New Roman" w:hAnsi="Times New Roman"/>
          <w:color w:val="000000"/>
          <w:sz w:val="28"/>
          <w:szCs w:val="28"/>
          <w:lang w:eastAsia="es-ES"/>
        </w:rPr>
        <w:t>s</w:t>
      </w:r>
      <w:proofErr w:type="spellEnd"/>
      <w:r w:rsidR="005A5E47">
        <w:rPr>
          <w:rFonts w:ascii="Times New Roman" w:hAnsi="Times New Roman"/>
          <w:color w:val="000000"/>
          <w:sz w:val="28"/>
          <w:szCs w:val="28"/>
          <w:lang w:eastAsia="es-ES"/>
        </w:rPr>
        <w:t xml:space="preserve"> con fecha 1 de noviembre de 2023 (ANEXO I). Aportamos versión traducida como ANEXO II.</w:t>
      </w: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jc w:val="both"/>
        <w:rPr>
          <w:rFonts w:ascii="Times New Roman" w:hAnsi="Times New Roman"/>
          <w:i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</w:p>
    <w:p w:rsidR="00A239EE" w:rsidRPr="00A239EE" w:rsidRDefault="00A239EE" w:rsidP="00A239EE">
      <w:pPr>
        <w:pStyle w:val="Prrafodelista"/>
        <w:shd w:val="clear" w:color="auto" w:fill="FFFFFF"/>
        <w:spacing w:before="360" w:after="180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A239EE" w:rsidRDefault="00A239EE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Default="000A0220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Pr="004B1902" w:rsidRDefault="000A0220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Default="000A0220" w:rsidP="00E30E00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</w:p>
    <w:p w:rsidR="000A0220" w:rsidRPr="004B1902" w:rsidRDefault="000A0220" w:rsidP="00E30E00">
      <w:pPr>
        <w:pStyle w:val="Prrafodelista"/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  <w:r w:rsidRPr="004B1902"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>Beneficiarios o usuarios de la actividad.</w:t>
      </w:r>
    </w:p>
    <w:p w:rsidR="000A0220" w:rsidRDefault="000A0220" w:rsidP="00E30E00">
      <w:pPr>
        <w:pStyle w:val="Prrafodelista"/>
        <w:shd w:val="clear" w:color="auto" w:fill="FFFFFF"/>
        <w:spacing w:before="360" w:after="1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Pr="00592DD2" w:rsidRDefault="000A0220" w:rsidP="00E30E00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 xml:space="preserve"> </w:t>
      </w:r>
      <w:r w:rsidR="00A239EE">
        <w:rPr>
          <w:rFonts w:ascii="Times New Roman" w:hAnsi="Times New Roman"/>
          <w:color w:val="000000"/>
          <w:sz w:val="28"/>
          <w:szCs w:val="28"/>
          <w:lang w:eastAsia="es-ES"/>
        </w:rPr>
        <w:t>En esta primera edi</w:t>
      </w:r>
      <w:r w:rsidR="005A5E47">
        <w:rPr>
          <w:rFonts w:ascii="Times New Roman" w:hAnsi="Times New Roman"/>
          <w:color w:val="000000"/>
          <w:sz w:val="28"/>
          <w:szCs w:val="28"/>
          <w:lang w:eastAsia="es-ES"/>
        </w:rPr>
        <w:t>ción de nuestro curso es un proyecto piloto, y como tal se ha circunscrito a un número reducido de beneficiarios, concretamente siete, que empezarán a recibir sus clases el próximo día 4 de marzo, y concluirán el curso el 18 de octubre.</w:t>
      </w:r>
    </w:p>
    <w:p w:rsidR="000A0220" w:rsidRDefault="000A0220" w:rsidP="002C2EC1">
      <w:pPr>
        <w:shd w:val="clear" w:color="auto" w:fill="FFFFFF"/>
        <w:spacing w:before="360" w:after="18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</w:p>
    <w:p w:rsidR="000A0220" w:rsidRDefault="000A0220" w:rsidP="002C2EC1">
      <w:pPr>
        <w:shd w:val="clear" w:color="auto" w:fill="FFFFFF"/>
        <w:spacing w:before="360" w:after="18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</w:p>
    <w:p w:rsidR="000A0220" w:rsidRPr="002C2EC1" w:rsidRDefault="000A0220" w:rsidP="002C2EC1">
      <w:pPr>
        <w:shd w:val="clear" w:color="auto" w:fill="FFFFFF"/>
        <w:spacing w:before="360" w:after="18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  <w:r w:rsidRPr="002C2EC1"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>Recursos económicos empleados en la actividad.</w:t>
      </w:r>
    </w:p>
    <w:p w:rsidR="000A0220" w:rsidRDefault="005A5E47" w:rsidP="00E30E00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El curso está subvencionado de acuerdo con la resolución citada con una cantidad de VEINTIUNMIL TREINTA Y CINCO (21.035)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s-ES"/>
        </w:rPr>
        <w:t>EUROS.</w:t>
      </w:r>
      <w:r w:rsidR="000A0220">
        <w:rPr>
          <w:rFonts w:ascii="Times New Roman" w:hAnsi="Times New Roman"/>
          <w:color w:val="000000"/>
          <w:sz w:val="28"/>
          <w:szCs w:val="28"/>
          <w:lang w:eastAsia="es-ES"/>
        </w:rPr>
        <w:t>.</w:t>
      </w:r>
      <w:proofErr w:type="gramEnd"/>
    </w:p>
    <w:p w:rsidR="000A0220" w:rsidRDefault="005A5E47" w:rsidP="00E30E00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lastRenderedPageBreak/>
        <w:t xml:space="preserve"> </w:t>
      </w:r>
    </w:p>
    <w:p w:rsidR="000A0220" w:rsidRDefault="000A0220" w:rsidP="00E30E00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</w:pPr>
    </w:p>
    <w:p w:rsidR="000A0220" w:rsidRPr="0055336D" w:rsidRDefault="000A0220" w:rsidP="00E30E00">
      <w:pPr>
        <w:shd w:val="clear" w:color="auto" w:fill="FFFFFF"/>
        <w:spacing w:before="360" w:after="18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 xml:space="preserve"> </w:t>
      </w:r>
      <w:r w:rsidRPr="0055336D">
        <w:rPr>
          <w:rFonts w:ascii="Times New Roman" w:hAnsi="Times New Roman"/>
          <w:b/>
          <w:bCs/>
          <w:color w:val="000000"/>
          <w:sz w:val="28"/>
          <w:szCs w:val="28"/>
          <w:lang w:eastAsia="es-ES"/>
        </w:rPr>
        <w:t>Previsión de recursos económicos totales obtenidos por la entidad.</w:t>
      </w:r>
    </w:p>
    <w:p w:rsidR="000A0220" w:rsidRDefault="000A0220" w:rsidP="00E30E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A5E47" w:rsidRDefault="000A0220" w:rsidP="00E30E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Dur</w:t>
      </w:r>
      <w:r w:rsidR="005A5E47">
        <w:rPr>
          <w:rFonts w:ascii="Times New Roman" w:hAnsi="Times New Roman"/>
          <w:sz w:val="28"/>
          <w:szCs w:val="28"/>
        </w:rPr>
        <w:t>ante este primer ejercicio (2023</w:t>
      </w:r>
      <w:r>
        <w:rPr>
          <w:rFonts w:ascii="Times New Roman" w:hAnsi="Times New Roman"/>
          <w:sz w:val="28"/>
          <w:szCs w:val="28"/>
        </w:rPr>
        <w:t>) se</w:t>
      </w:r>
      <w:r w:rsidR="005A5E47">
        <w:rPr>
          <w:rFonts w:ascii="Times New Roman" w:hAnsi="Times New Roman"/>
          <w:sz w:val="28"/>
          <w:szCs w:val="28"/>
        </w:rPr>
        <w:t xml:space="preserve"> ha completado la aportación legal del fundador hasta un total del 50%, es decir 15.000 euros.</w:t>
      </w:r>
    </w:p>
    <w:p w:rsidR="000A0220" w:rsidRDefault="005A5E47" w:rsidP="00E30E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Para el ejercicio 2024 se</w:t>
      </w:r>
      <w:r w:rsidR="000A0220">
        <w:rPr>
          <w:rFonts w:ascii="Times New Roman" w:hAnsi="Times New Roman"/>
          <w:sz w:val="28"/>
          <w:szCs w:val="28"/>
        </w:rPr>
        <w:t xml:space="preserve"> prevé que la Fundación reciba los siguientes ingresos</w:t>
      </w:r>
    </w:p>
    <w:p w:rsidR="000A0220" w:rsidRDefault="000A0220" w:rsidP="00E30E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-En primer lugar, un segundo aporte</w:t>
      </w:r>
      <w:r w:rsidR="005A5E47">
        <w:rPr>
          <w:rFonts w:ascii="Times New Roman" w:hAnsi="Times New Roman"/>
          <w:sz w:val="28"/>
          <w:szCs w:val="28"/>
        </w:rPr>
        <w:t xml:space="preserve"> a la dotación fundacional de 150</w:t>
      </w:r>
      <w:r>
        <w:rPr>
          <w:rFonts w:ascii="Times New Roman" w:hAnsi="Times New Roman"/>
          <w:sz w:val="28"/>
          <w:szCs w:val="28"/>
        </w:rPr>
        <w:t>00 (</w:t>
      </w:r>
      <w:r w:rsidR="005A5E47">
        <w:rPr>
          <w:rFonts w:ascii="Times New Roman" w:hAnsi="Times New Roman"/>
          <w:sz w:val="28"/>
          <w:szCs w:val="28"/>
        </w:rPr>
        <w:t>quince mil</w:t>
      </w:r>
      <w:r>
        <w:rPr>
          <w:rFonts w:ascii="Times New Roman" w:hAnsi="Times New Roman"/>
          <w:sz w:val="28"/>
          <w:szCs w:val="28"/>
        </w:rPr>
        <w:t xml:space="preserve">) euros, que junto con los desembolsados en </w:t>
      </w:r>
      <w:r w:rsidR="005A5E47">
        <w:rPr>
          <w:rFonts w:ascii="Times New Roman" w:hAnsi="Times New Roman"/>
          <w:sz w:val="28"/>
          <w:szCs w:val="28"/>
        </w:rPr>
        <w:t>el ejercicio 2023 arrojan un total de 30</w:t>
      </w:r>
      <w:r>
        <w:rPr>
          <w:rFonts w:ascii="Times New Roman" w:hAnsi="Times New Roman"/>
          <w:sz w:val="28"/>
          <w:szCs w:val="28"/>
        </w:rPr>
        <w:t>.000 (</w:t>
      </w:r>
      <w:r w:rsidR="005A5E47">
        <w:rPr>
          <w:rFonts w:ascii="Times New Roman" w:hAnsi="Times New Roman"/>
          <w:sz w:val="28"/>
          <w:szCs w:val="28"/>
        </w:rPr>
        <w:t>treinta mil</w:t>
      </w:r>
      <w:r>
        <w:rPr>
          <w:rFonts w:ascii="Times New Roman" w:hAnsi="Times New Roman"/>
          <w:sz w:val="28"/>
          <w:szCs w:val="28"/>
        </w:rPr>
        <w:t xml:space="preserve">) euros, </w:t>
      </w:r>
      <w:r w:rsidR="005A5E47">
        <w:rPr>
          <w:rFonts w:ascii="Times New Roman" w:hAnsi="Times New Roman"/>
          <w:sz w:val="28"/>
          <w:szCs w:val="28"/>
        </w:rPr>
        <w:t>quedando así completado el desembolso total de las aportaciones legalmente obligatorias</w:t>
      </w:r>
      <w:r>
        <w:rPr>
          <w:rFonts w:ascii="Times New Roman" w:hAnsi="Times New Roman"/>
          <w:sz w:val="28"/>
          <w:szCs w:val="28"/>
        </w:rPr>
        <w:t>.</w:t>
      </w:r>
    </w:p>
    <w:p w:rsidR="000A0220" w:rsidRDefault="000A0220" w:rsidP="00E30E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-En segundo lugar, </w:t>
      </w:r>
      <w:r w:rsidR="005A5E47">
        <w:rPr>
          <w:rFonts w:ascii="Times New Roman" w:hAnsi="Times New Roman"/>
          <w:sz w:val="28"/>
          <w:szCs w:val="28"/>
        </w:rPr>
        <w:t xml:space="preserve">la subvención prevista para el Curso de Formación </w:t>
      </w:r>
      <w:proofErr w:type="spellStart"/>
      <w:r w:rsidR="005A5E47">
        <w:rPr>
          <w:rFonts w:ascii="Times New Roman" w:hAnsi="Times New Roman"/>
          <w:sz w:val="28"/>
          <w:szCs w:val="28"/>
        </w:rPr>
        <w:t>Bluestar</w:t>
      </w:r>
      <w:proofErr w:type="spellEnd"/>
      <w:r w:rsidR="005A5E47">
        <w:rPr>
          <w:rFonts w:ascii="Times New Roman" w:hAnsi="Times New Roman"/>
          <w:sz w:val="28"/>
          <w:szCs w:val="28"/>
        </w:rPr>
        <w:t xml:space="preserve"> Project de 21.035 euros (</w:t>
      </w:r>
      <w:proofErr w:type="spellStart"/>
      <w:r w:rsidR="005A5E47">
        <w:rPr>
          <w:rFonts w:ascii="Times New Roman" w:hAnsi="Times New Roman"/>
          <w:sz w:val="28"/>
          <w:szCs w:val="28"/>
        </w:rPr>
        <w:t>veintiun</w:t>
      </w:r>
      <w:proofErr w:type="spellEnd"/>
      <w:r w:rsidR="005A5E47">
        <w:rPr>
          <w:rFonts w:ascii="Times New Roman" w:hAnsi="Times New Roman"/>
          <w:sz w:val="28"/>
          <w:szCs w:val="28"/>
        </w:rPr>
        <w:t xml:space="preserve"> mil treinta y cinco)</w:t>
      </w:r>
      <w:r>
        <w:rPr>
          <w:rFonts w:ascii="Times New Roman" w:hAnsi="Times New Roman"/>
          <w:sz w:val="28"/>
          <w:szCs w:val="28"/>
        </w:rPr>
        <w:t>.</w:t>
      </w:r>
    </w:p>
    <w:p w:rsidR="000A0220" w:rsidRDefault="000A0220" w:rsidP="00E30E00">
      <w:pPr>
        <w:jc w:val="both"/>
        <w:rPr>
          <w:rFonts w:ascii="Times New Roman" w:hAnsi="Times New Roman"/>
          <w:sz w:val="28"/>
          <w:szCs w:val="28"/>
        </w:rPr>
      </w:pPr>
    </w:p>
    <w:p w:rsidR="000A0220" w:rsidRDefault="000A0220" w:rsidP="00E30E00">
      <w:pPr>
        <w:jc w:val="both"/>
        <w:rPr>
          <w:rFonts w:ascii="Times New Roman" w:hAnsi="Times New Roman"/>
          <w:sz w:val="28"/>
          <w:szCs w:val="28"/>
        </w:rPr>
      </w:pPr>
    </w:p>
    <w:p w:rsidR="000A0220" w:rsidRDefault="000A0220" w:rsidP="00E30E0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s-ES"/>
        </w:rPr>
      </w:pPr>
    </w:p>
    <w:p w:rsidR="000A0220" w:rsidRDefault="000A0220" w:rsidP="00CE0CFC">
      <w:pPr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Default="000A0220" w:rsidP="00CE0CFC">
      <w:pPr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Por </w:t>
      </w:r>
      <w:r w:rsidR="007118DA">
        <w:rPr>
          <w:rFonts w:ascii="Times New Roman" w:hAnsi="Times New Roman"/>
          <w:color w:val="000000"/>
          <w:sz w:val="28"/>
          <w:szCs w:val="28"/>
          <w:lang w:eastAsia="es-ES"/>
        </w:rPr>
        <w:t>último se acompaña como ANEXO III</w:t>
      </w: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el plan de actuación según modelo normalizado regulado en el </w:t>
      </w:r>
      <w:r w:rsidRPr="0055336D">
        <w:rPr>
          <w:rFonts w:ascii="Times New Roman" w:hAnsi="Times New Roman"/>
          <w:color w:val="000000"/>
          <w:sz w:val="28"/>
          <w:szCs w:val="28"/>
          <w:lang w:eastAsia="es-ES"/>
        </w:rPr>
        <w:t>Real Decreto 1491/2011, de 24 de octubre</w:t>
      </w:r>
      <w:r>
        <w:rPr>
          <w:rFonts w:ascii="Times New Roman" w:hAnsi="Times New Roman"/>
          <w:color w:val="000000"/>
          <w:sz w:val="28"/>
          <w:szCs w:val="28"/>
          <w:lang w:eastAsia="es-ES"/>
        </w:rPr>
        <w:t>.</w:t>
      </w:r>
    </w:p>
    <w:p w:rsidR="000A0220" w:rsidRDefault="000A0220" w:rsidP="00CE0CFC">
      <w:pPr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Default="000A0220" w:rsidP="00CE0CFC">
      <w:pPr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</w:p>
    <w:p w:rsidR="000A0220" w:rsidRDefault="000A0220" w:rsidP="00CE0CFC">
      <w:pPr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 Miguel Ángel Jiménez Barbero</w:t>
      </w:r>
    </w:p>
    <w:p w:rsidR="000A0220" w:rsidRDefault="001A1054" w:rsidP="00CE0CFC">
      <w:pPr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 w:rsidRPr="00037EC1">
        <w:rPr>
          <w:rFonts w:ascii="Arial" w:hAnsi="Arial" w:cs="Arial"/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61.15pt;visibility:visible">
            <v:imagedata r:id="rId7" o:title=""/>
          </v:shape>
        </w:pict>
      </w:r>
    </w:p>
    <w:p w:rsidR="000A0220" w:rsidRPr="00CE0CFC" w:rsidRDefault="000A0220" w:rsidP="00CE0CFC">
      <w:pPr>
        <w:jc w:val="both"/>
        <w:rPr>
          <w:rFonts w:ascii="Times New Roman" w:hAnsi="Times New Roman"/>
          <w:color w:val="000000"/>
          <w:sz w:val="28"/>
          <w:szCs w:val="28"/>
          <w:lang w:eastAsia="es-ES"/>
        </w:rPr>
      </w:pPr>
      <w:r>
        <w:rPr>
          <w:rFonts w:ascii="Times New Roman" w:hAnsi="Times New Roman"/>
          <w:color w:val="000000"/>
          <w:sz w:val="28"/>
          <w:szCs w:val="28"/>
          <w:lang w:eastAsia="es-ES"/>
        </w:rPr>
        <w:t xml:space="preserve">  Presidente de FPEA</w:t>
      </w:r>
    </w:p>
    <w:sectPr w:rsidR="000A0220" w:rsidRPr="00CE0CFC" w:rsidSect="006762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6D" w:rsidRDefault="00727D6D">
      <w:r>
        <w:separator/>
      </w:r>
    </w:p>
  </w:endnote>
  <w:endnote w:type="continuationSeparator" w:id="0">
    <w:p w:rsidR="00727D6D" w:rsidRDefault="00727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6D" w:rsidRDefault="00727D6D">
      <w:r>
        <w:separator/>
      </w:r>
    </w:p>
  </w:footnote>
  <w:footnote w:type="continuationSeparator" w:id="0">
    <w:p w:rsidR="00727D6D" w:rsidRDefault="00727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20" w:rsidRDefault="00037EC1">
    <w:pPr>
      <w:pStyle w:val="Encabezado"/>
    </w:pPr>
    <w:bookmarkStart w:id="1" w:name="_Hlk117340819"/>
    <w:r w:rsidRPr="00037EC1">
      <w:rPr>
        <w:rFonts w:ascii="Arial" w:hAnsi="Arial" w:cs="Arial"/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6" type="#_x0000_t75" style="width:58.9pt;height:61.15pt;visibility:visible">
          <v:imagedata r:id="rId1" o:title=""/>
        </v:shape>
      </w:pic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228E"/>
    <w:multiLevelType w:val="hybridMultilevel"/>
    <w:tmpl w:val="F37A5256"/>
    <w:lvl w:ilvl="0" w:tplc="86BC67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701"/>
    <w:rsid w:val="000207EB"/>
    <w:rsid w:val="00037EC1"/>
    <w:rsid w:val="00050555"/>
    <w:rsid w:val="00072795"/>
    <w:rsid w:val="000A0220"/>
    <w:rsid w:val="000A2FFC"/>
    <w:rsid w:val="000B7C34"/>
    <w:rsid w:val="00103D1F"/>
    <w:rsid w:val="001A1054"/>
    <w:rsid w:val="001B7696"/>
    <w:rsid w:val="00202794"/>
    <w:rsid w:val="0021328B"/>
    <w:rsid w:val="00250B30"/>
    <w:rsid w:val="00250C85"/>
    <w:rsid w:val="002A337B"/>
    <w:rsid w:val="002B070A"/>
    <w:rsid w:val="002B2408"/>
    <w:rsid w:val="002B7D63"/>
    <w:rsid w:val="002C2EC1"/>
    <w:rsid w:val="00397DA8"/>
    <w:rsid w:val="0042270E"/>
    <w:rsid w:val="00422F97"/>
    <w:rsid w:val="00464701"/>
    <w:rsid w:val="00466778"/>
    <w:rsid w:val="004B1902"/>
    <w:rsid w:val="004C6C64"/>
    <w:rsid w:val="004D1F61"/>
    <w:rsid w:val="004E57B7"/>
    <w:rsid w:val="0053150D"/>
    <w:rsid w:val="00546D76"/>
    <w:rsid w:val="0055336D"/>
    <w:rsid w:val="00592DD2"/>
    <w:rsid w:val="005A5E47"/>
    <w:rsid w:val="005F499E"/>
    <w:rsid w:val="00640AF5"/>
    <w:rsid w:val="00653CD5"/>
    <w:rsid w:val="00676213"/>
    <w:rsid w:val="006867A5"/>
    <w:rsid w:val="006C00FA"/>
    <w:rsid w:val="006F42DC"/>
    <w:rsid w:val="007118DA"/>
    <w:rsid w:val="00727D6D"/>
    <w:rsid w:val="007E4747"/>
    <w:rsid w:val="007F5466"/>
    <w:rsid w:val="00803DF4"/>
    <w:rsid w:val="00986EFF"/>
    <w:rsid w:val="009B085B"/>
    <w:rsid w:val="009F17BA"/>
    <w:rsid w:val="00A04C61"/>
    <w:rsid w:val="00A239EE"/>
    <w:rsid w:val="00A74F43"/>
    <w:rsid w:val="00A77190"/>
    <w:rsid w:val="00A854AB"/>
    <w:rsid w:val="00AB58EB"/>
    <w:rsid w:val="00C058ED"/>
    <w:rsid w:val="00CC6593"/>
    <w:rsid w:val="00CE0CFC"/>
    <w:rsid w:val="00D0053B"/>
    <w:rsid w:val="00D03F96"/>
    <w:rsid w:val="00D32D56"/>
    <w:rsid w:val="00DC7567"/>
    <w:rsid w:val="00DE788F"/>
    <w:rsid w:val="00E00B2D"/>
    <w:rsid w:val="00E00E8A"/>
    <w:rsid w:val="00E01C46"/>
    <w:rsid w:val="00E10D1F"/>
    <w:rsid w:val="00E30E00"/>
    <w:rsid w:val="00EA43A3"/>
    <w:rsid w:val="00EE4087"/>
    <w:rsid w:val="00EF280A"/>
    <w:rsid w:val="00F47DF2"/>
    <w:rsid w:val="00F7021D"/>
    <w:rsid w:val="00F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13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9F17B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F17BA"/>
    <w:rPr>
      <w:rFonts w:ascii="Calibri Light" w:hAnsi="Calibri Light" w:cs="Times New Roman"/>
      <w:color w:val="1F3763"/>
      <w:sz w:val="24"/>
      <w:szCs w:val="24"/>
    </w:rPr>
  </w:style>
  <w:style w:type="paragraph" w:styleId="Prrafodelista">
    <w:name w:val="List Paragraph"/>
    <w:basedOn w:val="Normal"/>
    <w:uiPriority w:val="99"/>
    <w:qFormat/>
    <w:rsid w:val="0053150D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E0CF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CE0CFC"/>
    <w:rPr>
      <w:rFonts w:cs="Times New Roman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00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50B30"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E00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50B3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Jimenez Barbero</dc:creator>
  <cp:keywords/>
  <dc:description/>
  <cp:lastModifiedBy>Centor</cp:lastModifiedBy>
  <cp:revision>16</cp:revision>
  <dcterms:created xsi:type="dcterms:W3CDTF">2021-11-19T12:51:00Z</dcterms:created>
  <dcterms:modified xsi:type="dcterms:W3CDTF">2024-01-30T10:03:00Z</dcterms:modified>
</cp:coreProperties>
</file>